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2337FB">
        <w:trPr>
          <w:trHeight w:val="103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F23ABF" w:rsidRDefault="00CF0184" w:rsidP="00F23ABF">
            <w:pPr>
              <w:pStyle w:val="Nadpis1"/>
              <w:spacing w:before="6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Default="00F23ABF" w:rsidP="00C108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326B98AF" w:rsidR="00CF0184" w:rsidRPr="00C10816" w:rsidRDefault="00C10816" w:rsidP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na žiadosť uchádzača o zamestnanie vypĺňa poskytovateľ rekvalifikácie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C80CEB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374020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74E6B0A0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690073">
        <w:trPr>
          <w:trHeight w:val="529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32E7E522" w:rsidR="00AA177A" w:rsidRPr="00C80CEB" w:rsidRDefault="00690073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FEST DOBRÁ ŠKOLA,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5342281E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690073">
        <w:trPr>
          <w:trHeight w:val="441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1618B522" w:rsidR="00AA177A" w:rsidRPr="00C80CEB" w:rsidRDefault="00690073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Spišské Podhradie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5C63F02A" w:rsidR="00AA177A" w:rsidRPr="00C80CEB" w:rsidRDefault="00690073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Štúrova 14/5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460A40D9" w:rsidR="00AA177A" w:rsidRPr="00C80CEB" w:rsidRDefault="00690073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05304</w:t>
            </w: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1486067F" w14:textId="1A846A54" w:rsidR="00690073" w:rsidRDefault="00690073" w:rsidP="006900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53 881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010</w:t>
            </w:r>
          </w:p>
          <w:p w14:paraId="4F473606" w14:textId="0FC3330C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5EE1E36B" w14:textId="77777777" w:rsidR="00AA177A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9F05420" w14:textId="7E157A03" w:rsidR="00690073" w:rsidRPr="00C80CEB" w:rsidRDefault="00690073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podľa §7a, registrácia od 24. 4. 2024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57F04902" w:rsidR="00AA177A" w:rsidRPr="00C80CEB" w:rsidRDefault="00690073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SK2121529894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62A3CBCF" w:rsidR="00AA177A" w:rsidRPr="00C80CEB" w:rsidRDefault="00690073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2121529894</w:t>
            </w:r>
          </w:p>
        </w:tc>
      </w:tr>
      <w:tr w:rsidR="00374020" w:rsidRPr="00C80CEB" w14:paraId="517FEF4A" w14:textId="77777777" w:rsidTr="00F23ABF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0F48F960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385F7C4D" w14:textId="189B7781" w:rsidR="00925AD2" w:rsidRPr="00925AD2" w:rsidRDefault="00000000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925AD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925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gymnázium, stredná odborná </w:t>
            </w:r>
            <w:r w:rsidR="00374020" w:rsidRPr="00E072C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r w:rsidR="00925AD2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(vrátane strednej športovej školy a školy umeleckého priemyslu),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uskutočňuj</w:t>
            </w:r>
            <w:r w:rsidR="006C5A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aj vzdelávacie programy </w:t>
            </w:r>
            <w:r w:rsidR="00925AD2" w:rsidRPr="00925AD2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78331BF5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4E05A2A0" w:rsidR="00F23ABF" w:rsidRPr="00A42551" w:rsidRDefault="00F23ABF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>označenie registra, v ktorom je poskytovateľ rekvalifikácie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690073">
        <w:trPr>
          <w:trHeight w:val="76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1C138419" w14:textId="77777777" w:rsidR="00C94B88" w:rsidRPr="00480C42" w:rsidRDefault="00C94B88" w:rsidP="00C94B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OU-PP-OZP-2021/010920-6</w:t>
            </w:r>
          </w:p>
          <w:p w14:paraId="33BF7CBD" w14:textId="77777777" w:rsidR="00C94B88" w:rsidRPr="00480C42" w:rsidRDefault="00C94B88" w:rsidP="00C94B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č. živnostenského registra 740-39346</w:t>
            </w:r>
          </w:p>
          <w:p w14:paraId="66FF6D8B" w14:textId="585F8E9D" w:rsidR="00E73F17" w:rsidRPr="00690073" w:rsidRDefault="00C94B88" w:rsidP="00F23A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Obchodný register Vložka číslo 51974/V         https://www.orsr.sk/vypis.asp?ID=596410&amp;SID=4&amp;P=1</w:t>
            </w: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prípade, ak bola poskytovateľovi rekvalifikácie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04F038AF" w:rsidR="0039751C" w:rsidRPr="00A42551" w:rsidRDefault="0039751C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690073">
        <w:trPr>
          <w:trHeight w:val="475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4DD84E60" w:rsidR="0039751C" w:rsidRDefault="00C94B88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23.06.2021</w:t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34315161" w:rsidR="0039751C" w:rsidRDefault="00690073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Osvedčenie o živnostenskom oprávnení</w:t>
            </w: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690073">
        <w:trPr>
          <w:trHeight w:val="388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982DFEC" w14:textId="77777777" w:rsidR="00C159E2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4D20E7E" w:rsidR="00C159E2" w:rsidRPr="00C80CEB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6A0A0A28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(obec)</w:t>
            </w:r>
          </w:p>
          <w:p w14:paraId="4FE72519" w14:textId="305F322A" w:rsidR="0039751C" w:rsidRPr="00C80CEB" w:rsidRDefault="00000000" w:rsidP="00151C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prechodného pobytu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690073">
        <w:trPr>
          <w:trHeight w:val="549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4788A2BF" w:rsidR="0039751C" w:rsidRPr="00C80CEB" w:rsidRDefault="00690073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Umenie komunikácie v</w:t>
            </w:r>
            <w:r w:rsidR="00C9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94B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nemeckom</w:t>
            </w:r>
            <w:r w:rsidRPr="007D3A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jazyku</w:t>
            </w:r>
            <w:proofErr w:type="spellEnd"/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vydaného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 absolvovaní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AFF5648" w:rsidR="0039751C" w:rsidRPr="00C80CEB" w:rsidRDefault="00690073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Certifikát o úspešnom absolvovaní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onlline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vzdelávacieho kurzu</w:t>
            </w: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1AFFBD5C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rekvalifikácie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39E415E5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C1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399F6F8A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07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1E9E41C4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02891E48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00FF9ABF" w:rsidR="00AF4FB0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176C6B0C" w:rsidR="00AF4FB0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min</w:t>
            </w: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35537B62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04EA171" w:rsidR="0039751C" w:rsidRPr="00C80CEB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1B044F1E" w:rsidR="0039751C" w:rsidRPr="00DE5918" w:rsidRDefault="00690073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hodín</w:t>
            </w: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450FAB97" w:rsidR="0039751C" w:rsidRPr="00DE5918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26CCAB58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dní</w:t>
            </w: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C80CEB" w:rsidRDefault="0039751C" w:rsidP="00AF4F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6169FF7E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22.07.2024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2E8ECEB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30.08.2024</w:t>
            </w: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Konečná cena za osobohodinu rekvalifikácie (kurzovné) v</w:t>
            </w:r>
            <w:r w:rsidR="009E0864" w:rsidRPr="00BF6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4B7AA0DB" w:rsidR="00C8714B" w:rsidRPr="00BF6917" w:rsidRDefault="00E618E8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23 €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2C5ACBBD" w:rsidR="00C8714B" w:rsidRPr="00C80CEB" w:rsidRDefault="00E618E8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1035 €</w:t>
            </w: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BF691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E618E8">
        <w:trPr>
          <w:trHeight w:val="162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24EE0EA" w14:textId="17AFF84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rekvalifikáciu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66609830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55BFEF60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 o CŽV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F24C311" w14:textId="77777777" w:rsidR="00C94B88" w:rsidRPr="00480C42" w:rsidRDefault="00C94B88" w:rsidP="00C94B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OU-PP-OZP-2021/010920-6</w:t>
            </w:r>
          </w:p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26840F51" w14:textId="77777777" w:rsidR="00C94B88" w:rsidRPr="00480C42" w:rsidRDefault="00C94B88" w:rsidP="00C94B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23.06.2021</w:t>
            </w:r>
          </w:p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D346447" w:rsidR="0039751C" w:rsidRPr="00C80CEB" w:rsidRDefault="00E618E8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3A2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 neurčito</w:t>
            </w: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692BA0DE" w:rsidR="00583619" w:rsidRPr="00E072C9" w:rsidRDefault="00000000" w:rsidP="00583619">
            <w:pPr>
              <w:spacing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>Ministerstvo školstva, výskumu</w:t>
            </w:r>
            <w:r w:rsidR="00964786" w:rsidRPr="00E072C9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48C0FD5E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470774" w:rsidRDefault="00583619" w:rsidP="00DE591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názov dokumentu preukazujúci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09363F75" w14:textId="098D9288" w:rsidR="007C3919" w:rsidRPr="00E618E8" w:rsidRDefault="00E618E8" w:rsidP="0039751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Osvedčenie o </w:t>
            </w:r>
            <w:proofErr w:type="spellStart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živnostnenskom</w:t>
            </w:r>
            <w:proofErr w:type="spellEnd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oprávnení na vyučovanie v odbore cudzích jazykov</w:t>
            </w: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04950D2D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  <w:r w:rsidR="00E618E8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  <w:r w:rsidR="00E618E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      ww.zrsr.sk  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C80CEB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1CD01840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rekvalifikácia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r w:rsidR="000A51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596DC02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4CA25A38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6BB8B3CE" w:rsidR="00583619" w:rsidRPr="00C80CEB" w:rsidRDefault="006E5747" w:rsidP="006F445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Pr="00643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</w:t>
            </w:r>
            <w:r w:rsidRPr="00497A1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  možnosti predkladania žiadostí na poskytnutie príspevku na podporu rekvalifikácie uchádzača o zamestnanie v rámci </w:t>
            </w:r>
            <w:r w:rsidRPr="00497A18">
              <w:rPr>
                <w:rFonts w:ascii="Times New Roman" w:hAnsi="Times New Roman" w:cs="Times New Roman"/>
                <w:sz w:val="18"/>
                <w:szCs w:val="18"/>
              </w:rPr>
              <w:t>národného projektu Zručnosti na trhu práce, 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toré je verejne dostupné na </w:t>
            </w:r>
            <w:hyperlink r:id="rId9" w:history="1">
              <w:r w:rsidRPr="007F610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5DE0E0EF" w:rsidR="007C3919" w:rsidRPr="00E618E8" w:rsidRDefault="00000000" w:rsidP="00E618E8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poskytovateľ rekvalifikácie je vzdelávacia inštitúcia v zmysle § 5 zákona o</w:t>
            </w:r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hyperlink r:id="rId10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www.festdobraskola.sk</w:t>
              </w:r>
            </w:hyperlink>
            <w:r w:rsidR="00E618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5E0E1E41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2A6529AC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rekvalifikácia nie je realizovaná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  <w:r w:rsidR="00E618E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r:id="rId11" w:history="1">
              <w:r w:rsidR="00E618E8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7366F8A" w:rsidR="007C3919" w:rsidRPr="000B499D" w:rsidRDefault="00000000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18E8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4544E346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31.5.2024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6822915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PaedDr. Marta Lacková, konateľ</w:t>
            </w: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6DB0B923" w:rsidR="00E0520E" w:rsidRPr="00C80CEB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FBB5DBD" wp14:editId="618B0DB6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112395</wp:posOffset>
                  </wp:positionV>
                  <wp:extent cx="2219325" cy="1109980"/>
                  <wp:effectExtent l="0" t="0" r="0" b="0"/>
                  <wp:wrapSquare wrapText="bothSides"/>
                  <wp:docPr id="790190456" name="Obrázok 1" descr="Obrázok, na ktorom je temnota, čierny, snímka obrazovky, noc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90456" name="Obrázok 1" descr="Obrázok, na ktorom je temnota, čierny, snímka obrazovky, noc&#10;&#10;Automaticky generovaný popi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4B479AC1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+421 917 065 415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2DC05763" w:rsidR="00E0520E" w:rsidRPr="00E0520E" w:rsidRDefault="00E618E8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festdobraskola@gmail.com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73DA4">
      <w:pPr>
        <w:pStyle w:val="Textpoznmkypodiarou"/>
      </w:pPr>
    </w:p>
    <w:p w14:paraId="7FB239BB" w14:textId="3F31AE63" w:rsidR="00332DC5" w:rsidRPr="00C80CEB" w:rsidRDefault="00332DC5" w:rsidP="00873DA4">
      <w:pPr>
        <w:pStyle w:val="Textpoznmkypodiarou"/>
      </w:pPr>
    </w:p>
    <w:p w14:paraId="6FFBE401" w14:textId="6B3C25EC" w:rsidR="00332DC5" w:rsidRPr="00C80CEB" w:rsidRDefault="00332DC5" w:rsidP="00873DA4">
      <w:pPr>
        <w:pStyle w:val="Textpoznmkypodiarou"/>
      </w:pPr>
    </w:p>
    <w:p w14:paraId="6BB77BFE" w14:textId="2D8423C6" w:rsidR="00332DC5" w:rsidRPr="00C80CEB" w:rsidRDefault="00332DC5" w:rsidP="00873DA4">
      <w:pPr>
        <w:pStyle w:val="Textpoznmkypodiarou"/>
      </w:pPr>
    </w:p>
    <w:p w14:paraId="415D271D" w14:textId="7864BD6F" w:rsidR="00332DC5" w:rsidRPr="00C80CEB" w:rsidRDefault="00332DC5" w:rsidP="00873DA4">
      <w:pPr>
        <w:pStyle w:val="Textpoznmkypodiarou"/>
      </w:pPr>
    </w:p>
    <w:p w14:paraId="4BC44D53" w14:textId="2520BF02" w:rsidR="00332DC5" w:rsidRPr="00C80CEB" w:rsidRDefault="00332DC5" w:rsidP="00873DA4">
      <w:pPr>
        <w:pStyle w:val="Textpoznmkypodiarou"/>
      </w:pPr>
    </w:p>
    <w:p w14:paraId="744C6632" w14:textId="7B45991D" w:rsidR="00332DC5" w:rsidRPr="00C80CEB" w:rsidRDefault="00332DC5" w:rsidP="00873DA4">
      <w:pPr>
        <w:pStyle w:val="Textpoznmkypodiarou"/>
      </w:pPr>
    </w:p>
    <w:p w14:paraId="380FF934" w14:textId="5662B017" w:rsidR="00332DC5" w:rsidRDefault="00332DC5" w:rsidP="00873DA4">
      <w:pPr>
        <w:pStyle w:val="Textpoznmkypodiarou"/>
      </w:pPr>
    </w:p>
    <w:p w14:paraId="1D397D14" w14:textId="3256F1B3" w:rsidR="00BB2637" w:rsidRDefault="00BB2637" w:rsidP="00873DA4">
      <w:pPr>
        <w:pStyle w:val="Textpoznmkypodiarou"/>
      </w:pPr>
    </w:p>
    <w:p w14:paraId="4C833F8F" w14:textId="7178F192" w:rsidR="00BB2637" w:rsidRDefault="00BB2637" w:rsidP="00873DA4">
      <w:pPr>
        <w:pStyle w:val="Textpoznmkypodiarou"/>
      </w:pPr>
    </w:p>
    <w:p w14:paraId="47D87044" w14:textId="76535561" w:rsidR="00BB2637" w:rsidRDefault="00BB2637" w:rsidP="00873DA4">
      <w:pPr>
        <w:pStyle w:val="Textpoznmkypodiarou"/>
      </w:pPr>
    </w:p>
    <w:p w14:paraId="75FF5861" w14:textId="4422372A" w:rsidR="00BB2637" w:rsidRDefault="00BB2637" w:rsidP="00873DA4">
      <w:pPr>
        <w:pStyle w:val="Textpoznmkypodiarou"/>
      </w:pPr>
    </w:p>
    <w:p w14:paraId="6FAB2D6E" w14:textId="4C3811D5" w:rsidR="00BB2637" w:rsidRDefault="00BB2637" w:rsidP="00873DA4">
      <w:pPr>
        <w:pStyle w:val="Textpoznmkypodiarou"/>
      </w:pPr>
    </w:p>
    <w:p w14:paraId="1E10FD62" w14:textId="26644510" w:rsidR="00D85859" w:rsidRDefault="00D85859" w:rsidP="00873DA4">
      <w:pPr>
        <w:pStyle w:val="Textpoznmkypodiarou"/>
      </w:pPr>
    </w:p>
    <w:p w14:paraId="6FBA3A18" w14:textId="53FC6FAE" w:rsidR="00D85859" w:rsidRDefault="00D85859" w:rsidP="00873DA4">
      <w:pPr>
        <w:pStyle w:val="Textpoznmkypodiarou"/>
      </w:pPr>
    </w:p>
    <w:p w14:paraId="16554047" w14:textId="1618F22F" w:rsidR="00D85859" w:rsidRDefault="00D85859" w:rsidP="00873DA4">
      <w:pPr>
        <w:pStyle w:val="Textpoznmkypodiarou"/>
      </w:pPr>
    </w:p>
    <w:p w14:paraId="76AF880C" w14:textId="3753647E" w:rsidR="007B7F65" w:rsidRDefault="007B7F65" w:rsidP="00873DA4">
      <w:pPr>
        <w:pStyle w:val="Textpoznmkypodiarou"/>
      </w:pPr>
    </w:p>
    <w:p w14:paraId="15E5A51F" w14:textId="211044B0" w:rsidR="007B7F65" w:rsidRDefault="007B7F65" w:rsidP="00873DA4">
      <w:pPr>
        <w:pStyle w:val="Textpoznmkypodiarou"/>
      </w:pPr>
    </w:p>
    <w:p w14:paraId="0827D14F" w14:textId="00D0BC57" w:rsidR="007B7F65" w:rsidRDefault="007B7F65" w:rsidP="00873DA4">
      <w:pPr>
        <w:pStyle w:val="Textpoznmkypodiarou"/>
      </w:pPr>
    </w:p>
    <w:p w14:paraId="405CA980" w14:textId="21C560B3" w:rsidR="00D85859" w:rsidRDefault="00D85859" w:rsidP="00873DA4">
      <w:pPr>
        <w:pStyle w:val="Textpoznmkypodiarou"/>
      </w:pPr>
    </w:p>
    <w:p w14:paraId="064C4D9E" w14:textId="6FFFC019" w:rsidR="00BB2637" w:rsidRDefault="00C159E2" w:rsidP="00873DA4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7B7F65">
      <w:headerReference w:type="default" r:id="rId13"/>
      <w:footerReference w:type="default" r:id="rId14"/>
      <w:type w:val="continuous"/>
      <w:pgSz w:w="11906" w:h="16838" w:code="9"/>
      <w:pgMar w:top="0" w:right="1418" w:bottom="1560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F218" w14:textId="77777777" w:rsidR="00167159" w:rsidRDefault="00167159" w:rsidP="00C103BC">
      <w:pPr>
        <w:spacing w:after="0" w:line="240" w:lineRule="auto"/>
      </w:pPr>
      <w:r>
        <w:separator/>
      </w:r>
    </w:p>
  </w:endnote>
  <w:endnote w:type="continuationSeparator" w:id="0">
    <w:p w14:paraId="0744D628" w14:textId="77777777" w:rsidR="00167159" w:rsidRDefault="00167159" w:rsidP="00C103BC">
      <w:pPr>
        <w:spacing w:after="0" w:line="240" w:lineRule="auto"/>
      </w:pPr>
      <w:r>
        <w:continuationSeparator/>
      </w:r>
    </w:p>
  </w:endnote>
  <w:endnote w:type="continuationNotice" w:id="1">
    <w:p w14:paraId="6933C40D" w14:textId="77777777" w:rsidR="00167159" w:rsidRDefault="00167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FD6D70F" w14:textId="77777777" w:rsidR="00E13BFD" w:rsidRPr="00AC6B8B" w:rsidRDefault="00E13BFD" w:rsidP="00E13BFD">
        <w:pPr>
          <w:pStyle w:val="Odsekzoznamu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AC6B8B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Národný projekt Zručnosti pre trh práce sa realizuje vďaka podpore z fondu ESF+ v rámci Programu Slovensko 2021 – 2027</w:t>
        </w:r>
      </w:p>
      <w:p w14:paraId="00054B98" w14:textId="42D835B0" w:rsidR="00E13BFD" w:rsidRPr="00AC6B8B" w:rsidRDefault="00000000" w:rsidP="00E13BFD">
        <w:pPr>
          <w:pStyle w:val="Odsekzoznamu"/>
          <w:spacing w:after="60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hyperlink r:id="rId1" w:history="1">
          <w:r w:rsidR="00E13BFD" w:rsidRPr="00AC6B8B">
            <w:rPr>
              <w:rStyle w:val="Hypertextovprepojenie"/>
              <w:rFonts w:ascii="Times New Roman" w:hAnsi="Times New Roman" w:cs="Times New Roman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,</w:t>
        </w:r>
        <w:r w:rsidR="00B37496" w:rsidRP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u w:val="none"/>
            <w:lang w:eastAsia="cs-CZ"/>
          </w:rPr>
          <w:t xml:space="preserve"> </w:t>
        </w:r>
        <w:r w:rsidR="00E13BFD" w:rsidRPr="00AC6B8B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www.esf.gov.sk</w:t>
        </w:r>
      </w:p>
      <w:p w14:paraId="7F10D001" w14:textId="5C216C28" w:rsidR="00232848" w:rsidRPr="00AC6B8B" w:rsidRDefault="00000000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577A" w14:textId="77777777" w:rsidR="00167159" w:rsidRDefault="00167159" w:rsidP="00C103BC">
      <w:pPr>
        <w:spacing w:after="0" w:line="240" w:lineRule="auto"/>
      </w:pPr>
      <w:r>
        <w:separator/>
      </w:r>
    </w:p>
  </w:footnote>
  <w:footnote w:type="continuationSeparator" w:id="0">
    <w:p w14:paraId="6D2C8EE6" w14:textId="77777777" w:rsidR="00167159" w:rsidRDefault="00167159" w:rsidP="00C103BC">
      <w:pPr>
        <w:spacing w:after="0" w:line="240" w:lineRule="auto"/>
      </w:pPr>
      <w:r>
        <w:continuationSeparator/>
      </w:r>
    </w:p>
  </w:footnote>
  <w:footnote w:type="continuationNotice" w:id="1">
    <w:p w14:paraId="11E44B44" w14:textId="77777777" w:rsidR="00167159" w:rsidRDefault="00167159">
      <w:pPr>
        <w:spacing w:after="0" w:line="240" w:lineRule="auto"/>
      </w:pPr>
    </w:p>
  </w:footnote>
  <w:footnote w:id="2">
    <w:p w14:paraId="6F375086" w14:textId="244241F2" w:rsidR="00E73F17" w:rsidRDefault="00E73F17" w:rsidP="0028053F">
      <w:pPr>
        <w:pStyle w:val="Textpoznmkypodiarou"/>
        <w:ind w:left="113" w:hanging="113"/>
      </w:pPr>
      <w:r>
        <w:t>*Vybrete relevantnú možnosť</w:t>
      </w:r>
    </w:p>
    <w:p w14:paraId="26529CD1" w14:textId="49522ACE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  <w:footnote w:id="12">
    <w:p w14:paraId="51A4E1FE" w14:textId="2D6F0540" w:rsidR="0039751C" w:rsidRPr="00470774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szCs w:val="16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szCs w:val="16"/>
          <w:vertAlign w:val="baseline"/>
        </w:rPr>
        <w:t xml:space="preserve"> musí byť platná až </w:t>
      </w:r>
      <w:r w:rsidRPr="00C35845">
        <w:rPr>
          <w:rStyle w:val="Odkaznapoznmkupodiarou"/>
          <w:szCs w:val="16"/>
          <w:vertAlign w:val="baseline"/>
        </w:rPr>
        <w:t xml:space="preserve">do </w:t>
      </w:r>
      <w:r w:rsidR="00D85859">
        <w:rPr>
          <w:rStyle w:val="Odkaznapoznmkupodiarou"/>
          <w:szCs w:val="16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szCs w:val="16"/>
          <w:vertAlign w:val="baseline"/>
        </w:rPr>
        <w:t xml:space="preserve"> </w:t>
      </w:r>
      <w:r w:rsidRPr="00C35845">
        <w:rPr>
          <w:rStyle w:val="Odkaznapoznmkupodiarou"/>
          <w:szCs w:val="16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6348" w14:textId="128C1AB2" w:rsidR="00D56874" w:rsidRDefault="009838E2" w:rsidP="00D56874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r>
      <w:rPr>
        <w:noProof/>
        <w:lang w:eastAsia="sk-SK"/>
      </w:rPr>
      <w:drawing>
        <wp:inline distT="0" distB="0" distL="0" distR="0" wp14:anchorId="73CBCC06" wp14:editId="41E1C814">
          <wp:extent cx="5752800" cy="583754"/>
          <wp:effectExtent l="0" t="0" r="635" b="6985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370" cy="58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33FD" w14:textId="379444B0" w:rsidR="00232848" w:rsidRPr="001A2E82" w:rsidRDefault="00D56874" w:rsidP="00D56874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</w:t>
    </w:r>
    <w:r w:rsidR="007E471D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  <w:r w:rsidR="001A2E82" w:rsidRPr="001A2E82">
      <w:rPr>
        <w:rFonts w:ascii="Times New Roman" w:hAnsi="Times New Roman" w:cs="Times New Roman"/>
        <w:i/>
        <w:noProof/>
        <w:kern w:val="2"/>
        <w:sz w:val="18"/>
        <w:szCs w:val="18"/>
        <w:lang w:val="en-US"/>
      </w:rPr>
      <w:t xml:space="preserve">Kód: </w:t>
    </w:r>
    <w:r w:rsidR="001A2E82" w:rsidRPr="001A2E82">
      <w:rPr>
        <w:rFonts w:ascii="Times New Roman" w:hAnsi="Times New Roman" w:cs="Times New Roman"/>
        <w:i/>
        <w:sz w:val="18"/>
        <w:szCs w:val="18"/>
      </w:rPr>
      <w:t>401400FGL4</w:t>
    </w:r>
    <w:r w:rsidR="001A2E82" w:rsidRPr="001A2E82">
      <w:rPr>
        <w:rFonts w:ascii="Times New Roman" w:hAnsi="Times New Roman" w:cs="Times New Roman"/>
        <w:bCs/>
        <w:i/>
        <w:kern w:val="2"/>
        <w:sz w:val="18"/>
        <w:szCs w:val="18"/>
        <w:lang w:eastAsia="ar-SA"/>
      </w:rPr>
      <w:t xml:space="preserve">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</w:t>
    </w:r>
    <w:r w:rsidR="00AC42C3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902806">
    <w:abstractNumId w:val="0"/>
  </w:num>
  <w:num w:numId="2" w16cid:durableId="1198930835">
    <w:abstractNumId w:val="8"/>
  </w:num>
  <w:num w:numId="3" w16cid:durableId="2044137915">
    <w:abstractNumId w:val="4"/>
  </w:num>
  <w:num w:numId="4" w16cid:durableId="1838494462">
    <w:abstractNumId w:val="16"/>
  </w:num>
  <w:num w:numId="5" w16cid:durableId="1322737296">
    <w:abstractNumId w:val="13"/>
  </w:num>
  <w:num w:numId="6" w16cid:durableId="1289434774">
    <w:abstractNumId w:val="6"/>
  </w:num>
  <w:num w:numId="7" w16cid:durableId="597180913">
    <w:abstractNumId w:val="17"/>
  </w:num>
  <w:num w:numId="8" w16cid:durableId="1948464744">
    <w:abstractNumId w:val="14"/>
  </w:num>
  <w:num w:numId="9" w16cid:durableId="1833714697">
    <w:abstractNumId w:val="10"/>
  </w:num>
  <w:num w:numId="10" w16cid:durableId="1652563024">
    <w:abstractNumId w:val="1"/>
  </w:num>
  <w:num w:numId="11" w16cid:durableId="1493445618">
    <w:abstractNumId w:val="11"/>
  </w:num>
  <w:num w:numId="12" w16cid:durableId="756827915">
    <w:abstractNumId w:val="3"/>
  </w:num>
  <w:num w:numId="13" w16cid:durableId="1377780750">
    <w:abstractNumId w:val="5"/>
  </w:num>
  <w:num w:numId="14" w16cid:durableId="1327784756">
    <w:abstractNumId w:val="2"/>
  </w:num>
  <w:num w:numId="15" w16cid:durableId="164054895">
    <w:abstractNumId w:val="15"/>
  </w:num>
  <w:num w:numId="16" w16cid:durableId="1373726081">
    <w:abstractNumId w:val="9"/>
  </w:num>
  <w:num w:numId="17" w16cid:durableId="1266378489">
    <w:abstractNumId w:val="7"/>
  </w:num>
  <w:num w:numId="18" w16cid:durableId="7569494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041D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159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4B89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981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1CAB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28CE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04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0073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26C3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38E2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320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6917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FD9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AA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4B88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8E8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344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73DA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73DA4"/>
    <w:rPr>
      <w:rFonts w:ascii="Times New Roman" w:hAnsi="Times New Roman" w:cs="Times New Roman"/>
      <w:i/>
      <w:sz w:val="16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tail/g0xpHIcTs7vZHbGXtakgK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rsr.sk/Detail/g0xpHIcTs7vZHbGXtakg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stdobraskol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svr.gov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3FC-10DF-45BE-9920-5AA72E9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Marta Lackova</cp:lastModifiedBy>
  <cp:revision>2</cp:revision>
  <cp:lastPrinted>2022-10-03T11:16:00Z</cp:lastPrinted>
  <dcterms:created xsi:type="dcterms:W3CDTF">2024-06-11T20:27:00Z</dcterms:created>
  <dcterms:modified xsi:type="dcterms:W3CDTF">2024-06-11T20:27:00Z</dcterms:modified>
</cp:coreProperties>
</file>